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D0" w:rsidRPr="00A82D69" w:rsidRDefault="00E975D0" w:rsidP="00B21058">
      <w:pPr>
        <w:spacing w:after="0"/>
        <w:jc w:val="center"/>
      </w:pPr>
      <w:r w:rsidRPr="00A82D69">
        <w:t>Nota Informativa</w:t>
      </w:r>
    </w:p>
    <w:p w:rsidR="00E975D0" w:rsidRPr="00A82D69" w:rsidRDefault="00E975D0" w:rsidP="00B21058">
      <w:pPr>
        <w:spacing w:after="0"/>
        <w:jc w:val="center"/>
        <w:rPr>
          <w:b/>
        </w:rPr>
      </w:pPr>
      <w:r w:rsidRPr="00A82D69">
        <w:rPr>
          <w:b/>
        </w:rPr>
        <w:t>SISTEMA DE EXTENSIÓN DE NORMA DEL SECTOR CARNE DE VACUNO</w:t>
      </w:r>
    </w:p>
    <w:p w:rsidR="00E975D0" w:rsidRPr="00A82D69" w:rsidRDefault="00A82D69" w:rsidP="00B21058">
      <w:pPr>
        <w:spacing w:after="0"/>
        <w:jc w:val="center"/>
        <w:rPr>
          <w:b/>
        </w:rPr>
      </w:pPr>
      <w:r w:rsidRPr="00A82D69">
        <w:rPr>
          <w:b/>
        </w:rPr>
        <w:t>Organización Interprofesional Agroalimentaria de la Carne de Vacuno</w:t>
      </w:r>
    </w:p>
    <w:p w:rsidR="00A82D69" w:rsidRPr="00A82D69" w:rsidRDefault="00A82D69" w:rsidP="00B21058">
      <w:pPr>
        <w:spacing w:after="0"/>
        <w:jc w:val="center"/>
        <w:rPr>
          <w:b/>
        </w:rPr>
      </w:pPr>
      <w:r w:rsidRPr="00A82D69">
        <w:rPr>
          <w:b/>
        </w:rPr>
        <w:t>PROVACUNO</w:t>
      </w:r>
    </w:p>
    <w:p w:rsidR="00E975D0" w:rsidRDefault="00E975D0" w:rsidP="00377152">
      <w:pPr>
        <w:spacing w:after="0"/>
        <w:rPr>
          <w:b/>
        </w:rPr>
      </w:pPr>
    </w:p>
    <w:p w:rsidR="00A82D69" w:rsidRDefault="00A82D69" w:rsidP="00A82D69">
      <w:pPr>
        <w:spacing w:after="0"/>
        <w:jc w:val="both"/>
        <w:rPr>
          <w:b/>
        </w:rPr>
      </w:pPr>
      <w:r>
        <w:t>PROVACUNO constituida el 24 de septiembre de 2014, está integrada por las principales organizaciones del sector productor y del sector de la transformación/comercialización para la defensa de los intereses del sector de carne de vacuno, lugar de encuentro y foro de debate para la mejora de la situación de la cadena alimentaria sectorial.</w:t>
      </w:r>
    </w:p>
    <w:p w:rsidR="00A82D69" w:rsidRDefault="00A82D69" w:rsidP="00A82D69">
      <w:pPr>
        <w:spacing w:after="0"/>
        <w:jc w:val="both"/>
      </w:pPr>
    </w:p>
    <w:p w:rsidR="00E975D0" w:rsidRDefault="00A82D69" w:rsidP="002B254B">
      <w:pPr>
        <w:spacing w:after="0"/>
        <w:jc w:val="both"/>
      </w:pPr>
      <w:r>
        <w:t>E</w:t>
      </w:r>
      <w:r w:rsidRPr="00377152">
        <w:t xml:space="preserve">l </w:t>
      </w:r>
      <w:r>
        <w:t>25 de j</w:t>
      </w:r>
      <w:r w:rsidRPr="00377152">
        <w:t xml:space="preserve">unio </w:t>
      </w:r>
      <w:r>
        <w:t xml:space="preserve">de 2016 se publicó en el BOE la </w:t>
      </w:r>
      <w:r w:rsidRPr="001E65CA">
        <w:rPr>
          <w:b/>
        </w:rPr>
        <w:t>Orden AAA/1024/2016, de 15 de junio</w:t>
      </w:r>
      <w:r>
        <w:rPr>
          <w:b/>
        </w:rPr>
        <w:t xml:space="preserve"> l</w:t>
      </w:r>
      <w:r>
        <w:t xml:space="preserve">a Extensión de Norma, reconocimiento por parte del MAGRAMA de un acuerdo adoptado en el seno de la OIA y de obligado cumplimiento para todos los productores y operadores del sector, en la que </w:t>
      </w:r>
      <w:r w:rsidR="00E975D0" w:rsidRPr="00377152">
        <w:t xml:space="preserve">se fija la aportación económica obligatoria </w:t>
      </w:r>
      <w:r w:rsidR="00E975D0">
        <w:t xml:space="preserve">que se </w:t>
      </w:r>
      <w:r>
        <w:t xml:space="preserve">comenzará a aplicar </w:t>
      </w:r>
      <w:r w:rsidR="00E975D0">
        <w:t xml:space="preserve">a partir del </w:t>
      </w:r>
      <w:r w:rsidR="005E19A7">
        <w:t xml:space="preserve">próximo </w:t>
      </w:r>
      <w:r w:rsidR="00E975D0" w:rsidRPr="001E65CA">
        <w:rPr>
          <w:b/>
        </w:rPr>
        <w:t>1 de agosto de 2016</w:t>
      </w:r>
      <w:r w:rsidR="00E975D0" w:rsidRPr="00377152">
        <w:t>.</w:t>
      </w:r>
    </w:p>
    <w:p w:rsidR="00E975D0" w:rsidRDefault="00E975D0" w:rsidP="002B254B">
      <w:pPr>
        <w:spacing w:after="0"/>
        <w:jc w:val="both"/>
      </w:pPr>
    </w:p>
    <w:p w:rsidR="00E975D0" w:rsidRDefault="00E975D0" w:rsidP="002B254B">
      <w:pPr>
        <w:spacing w:after="0"/>
        <w:jc w:val="both"/>
      </w:pPr>
      <w:r w:rsidRPr="0006740B">
        <w:t xml:space="preserve">La aportación económica total por cada animal bovino </w:t>
      </w:r>
      <w:r w:rsidR="005E1AD4">
        <w:t xml:space="preserve">sacrificado a partir del próximo 1 de agosto de 2016 </w:t>
      </w:r>
      <w:r>
        <w:t>será</w:t>
      </w:r>
      <w:r w:rsidRPr="0006740B">
        <w:t xml:space="preserve"> de 1,00 €, repartid</w:t>
      </w:r>
      <w:r>
        <w:t>a</w:t>
      </w:r>
      <w:r w:rsidRPr="0006740B">
        <w:t xml:space="preserve"> de forma p</w:t>
      </w:r>
      <w:r>
        <w:t xml:space="preserve">aritaria en una </w:t>
      </w:r>
      <w:r w:rsidR="000B5CD2">
        <w:t>aportación de la pro</w:t>
      </w:r>
      <w:r w:rsidRPr="008D6CD7">
        <w:t xml:space="preserve">ducción de 0,50 € por cada animal bovino vivo entregado en matadero para su sacrificio y una </w:t>
      </w:r>
      <w:r w:rsidR="000B5CD2">
        <w:t xml:space="preserve">aportación </w:t>
      </w:r>
      <w:r w:rsidRPr="008D6CD7">
        <w:t>de 0</w:t>
      </w:r>
      <w:r w:rsidRPr="00377152">
        <w:t>,50</w:t>
      </w:r>
      <w:r>
        <w:t xml:space="preserve"> €</w:t>
      </w:r>
      <w:r w:rsidRPr="00377152">
        <w:t xml:space="preserve"> por cada animal bovino sacrificado en un matadero del territorio español.</w:t>
      </w:r>
    </w:p>
    <w:p w:rsidR="000B5CD2" w:rsidRDefault="000B5CD2" w:rsidP="000B5CD2">
      <w:pPr>
        <w:spacing w:after="0"/>
        <w:jc w:val="both"/>
      </w:pPr>
    </w:p>
    <w:p w:rsidR="000B5CD2" w:rsidRPr="00B654BF" w:rsidRDefault="000B5CD2" w:rsidP="000B5CD2">
      <w:pPr>
        <w:pStyle w:val="Prrafodelista"/>
        <w:numPr>
          <w:ilvl w:val="0"/>
          <w:numId w:val="10"/>
        </w:numPr>
        <w:spacing w:after="0"/>
        <w:ind w:left="360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720E9B1" wp14:editId="24B1FD6D">
            <wp:simplePos x="0" y="0"/>
            <wp:positionH relativeFrom="column">
              <wp:posOffset>108585</wp:posOffset>
            </wp:positionH>
            <wp:positionV relativeFrom="paragraph">
              <wp:posOffset>276225</wp:posOffset>
            </wp:positionV>
            <wp:extent cx="6076950" cy="838200"/>
            <wp:effectExtent l="0" t="0" r="0" b="0"/>
            <wp:wrapTight wrapText="bothSides">
              <wp:wrapPolygon edited="0">
                <wp:start x="3386" y="982"/>
                <wp:lineTo x="3386" y="14236"/>
                <wp:lineTo x="11172" y="14236"/>
                <wp:lineTo x="20246" y="11782"/>
                <wp:lineTo x="20246" y="8345"/>
                <wp:lineTo x="14964" y="3436"/>
                <wp:lineTo x="11172" y="982"/>
                <wp:lineTo x="3386" y="982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AF2">
        <w:rPr>
          <w:b/>
          <w:sz w:val="24"/>
          <w:szCs w:val="24"/>
        </w:rPr>
        <w:t xml:space="preserve">Aportación económica: 1€ por animal sacrificado. </w:t>
      </w:r>
    </w:p>
    <w:p w:rsidR="000B5CD2" w:rsidRDefault="000B5CD2" w:rsidP="000B5CD2">
      <w:pPr>
        <w:spacing w:after="0"/>
        <w:rPr>
          <w:b/>
        </w:rPr>
      </w:pPr>
    </w:p>
    <w:p w:rsidR="000B5CD2" w:rsidRDefault="000B5CD2" w:rsidP="000B5CD2">
      <w:pPr>
        <w:spacing w:after="0"/>
        <w:rPr>
          <w:b/>
        </w:rPr>
      </w:pPr>
    </w:p>
    <w:p w:rsidR="000B5CD2" w:rsidRDefault="000B5CD2" w:rsidP="002B254B">
      <w:pPr>
        <w:pStyle w:val="Prrafodelista"/>
        <w:spacing w:after="0"/>
        <w:ind w:left="360"/>
        <w:jc w:val="both"/>
      </w:pPr>
    </w:p>
    <w:p w:rsidR="000B5CD2" w:rsidRDefault="000B5CD2" w:rsidP="002B254B">
      <w:pPr>
        <w:pStyle w:val="Prrafodelista"/>
        <w:spacing w:after="0"/>
        <w:ind w:left="360"/>
        <w:jc w:val="both"/>
      </w:pPr>
    </w:p>
    <w:p w:rsidR="000B5CD2" w:rsidRDefault="000B5CD2" w:rsidP="002B254B">
      <w:pPr>
        <w:pStyle w:val="Prrafodelista"/>
        <w:spacing w:after="0"/>
        <w:ind w:left="360"/>
        <w:jc w:val="both"/>
      </w:pPr>
    </w:p>
    <w:p w:rsidR="000B5CD2" w:rsidRDefault="000B5CD2" w:rsidP="002B254B">
      <w:pPr>
        <w:pStyle w:val="Prrafodelista"/>
        <w:spacing w:after="0"/>
        <w:ind w:left="360"/>
        <w:jc w:val="both"/>
      </w:pPr>
    </w:p>
    <w:p w:rsidR="00026F32" w:rsidRDefault="00E975D0" w:rsidP="002B254B">
      <w:pPr>
        <w:spacing w:after="0"/>
        <w:jc w:val="both"/>
      </w:pPr>
      <w:r>
        <w:t>L</w:t>
      </w:r>
      <w:r w:rsidRPr="00B21058">
        <w:t xml:space="preserve">os recursos generados por </w:t>
      </w:r>
      <w:r w:rsidR="000B5CD2">
        <w:t>ambas</w:t>
      </w:r>
      <w:r w:rsidRPr="00B21058">
        <w:t xml:space="preserve"> aportac</w:t>
      </w:r>
      <w:r>
        <w:t>iones económi</w:t>
      </w:r>
      <w:r w:rsidR="000B5CD2">
        <w:t>cas obligatorias se distribuirán entre tres ejes de actuación.</w:t>
      </w:r>
    </w:p>
    <w:p w:rsidR="000B5CD2" w:rsidRPr="00B654BF" w:rsidRDefault="000B5CD2" w:rsidP="000B5CD2">
      <w:pPr>
        <w:spacing w:after="0"/>
        <w:rPr>
          <w:b/>
        </w:rPr>
      </w:pPr>
    </w:p>
    <w:p w:rsidR="000B5CD2" w:rsidRPr="00AA0FBA" w:rsidRDefault="000B5CD2" w:rsidP="000B5CD2">
      <w:pPr>
        <w:pStyle w:val="Prrafodelista"/>
        <w:numPr>
          <w:ilvl w:val="0"/>
          <w:numId w:val="10"/>
        </w:numPr>
        <w:spacing w:after="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Presupuesto </w:t>
      </w:r>
      <w:r w:rsidRPr="00AA0FBA">
        <w:rPr>
          <w:b/>
          <w:sz w:val="24"/>
          <w:szCs w:val="24"/>
        </w:rPr>
        <w:t>anual</w:t>
      </w:r>
      <w:r>
        <w:rPr>
          <w:b/>
          <w:sz w:val="24"/>
          <w:szCs w:val="24"/>
        </w:rPr>
        <w:t>. Distribución por eje de actuación.</w:t>
      </w:r>
    </w:p>
    <w:p w:rsidR="00993301" w:rsidRDefault="00993301" w:rsidP="000B5CD2">
      <w:pPr>
        <w:spacing w:after="0"/>
        <w:jc w:val="center"/>
        <w:rPr>
          <w:b/>
        </w:rPr>
      </w:pPr>
    </w:p>
    <w:p w:rsidR="000B5CD2" w:rsidRDefault="000B5CD2" w:rsidP="000B5CD2">
      <w:pPr>
        <w:spacing w:after="0"/>
        <w:jc w:val="center"/>
        <w:rPr>
          <w:b/>
        </w:rPr>
      </w:pPr>
      <w:r w:rsidRPr="00DD0B45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 wp14:anchorId="58085F69" wp14:editId="54413348">
            <wp:simplePos x="0" y="0"/>
            <wp:positionH relativeFrom="column">
              <wp:posOffset>108585</wp:posOffset>
            </wp:positionH>
            <wp:positionV relativeFrom="paragraph">
              <wp:posOffset>12700</wp:posOffset>
            </wp:positionV>
            <wp:extent cx="576262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93" y="21343"/>
                <wp:lineTo x="21493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CD2" w:rsidRDefault="000B5CD2" w:rsidP="002B254B">
      <w:pPr>
        <w:spacing w:after="0"/>
        <w:jc w:val="both"/>
      </w:pPr>
      <w:r>
        <w:lastRenderedPageBreak/>
        <w:t>Las acciones</w:t>
      </w:r>
      <w:bookmarkStart w:id="0" w:name="_GoBack"/>
      <w:r>
        <w:t xml:space="preserve">, </w:t>
      </w:r>
      <w:bookmarkEnd w:id="0"/>
      <w:r>
        <w:t>que se van a realizar con los recursos recaudados son:</w:t>
      </w:r>
    </w:p>
    <w:p w:rsidR="000B5CD2" w:rsidRDefault="000B5CD2" w:rsidP="002B254B">
      <w:pPr>
        <w:spacing w:after="0"/>
        <w:jc w:val="both"/>
      </w:pPr>
    </w:p>
    <w:p w:rsidR="000B5CD2" w:rsidRDefault="000B5CD2" w:rsidP="000B5CD2">
      <w:pPr>
        <w:spacing w:after="0"/>
        <w:jc w:val="center"/>
        <w:rPr>
          <w:b/>
        </w:rPr>
      </w:pPr>
    </w:p>
    <w:p w:rsidR="000B5CD2" w:rsidRDefault="000B5CD2" w:rsidP="000B5CD2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margin" w:tblpX="-497" w:tblpY="-5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9076"/>
      </w:tblGrid>
      <w:tr w:rsidR="000B5CD2" w:rsidTr="000B5CD2">
        <w:trPr>
          <w:trHeight w:val="2803"/>
        </w:trPr>
        <w:tc>
          <w:tcPr>
            <w:tcW w:w="932" w:type="dxa"/>
            <w:vMerge w:val="restart"/>
          </w:tcPr>
          <w:p w:rsidR="000B5CD2" w:rsidRDefault="000B5CD2" w:rsidP="000B5CD2">
            <w:pPr>
              <w:spacing w:after="0" w:line="480" w:lineRule="auto"/>
              <w:jc w:val="center"/>
              <w:rPr>
                <w:sz w:val="32"/>
                <w:szCs w:val="32"/>
                <w:u w:val="single"/>
              </w:rPr>
            </w:pPr>
            <w:r w:rsidRPr="00B654BF">
              <w:rPr>
                <w:sz w:val="32"/>
                <w:szCs w:val="32"/>
                <w:u w:val="single"/>
              </w:rPr>
              <w:t>A</w:t>
            </w:r>
          </w:p>
          <w:p w:rsidR="000B5CD2" w:rsidRDefault="000B5CD2" w:rsidP="000B5CD2">
            <w:pPr>
              <w:spacing w:after="0" w:line="480" w:lineRule="auto"/>
              <w:jc w:val="center"/>
              <w:rPr>
                <w:sz w:val="32"/>
                <w:szCs w:val="32"/>
                <w:u w:val="single"/>
              </w:rPr>
            </w:pPr>
            <w:r w:rsidRPr="00B654BF">
              <w:rPr>
                <w:sz w:val="32"/>
                <w:szCs w:val="32"/>
                <w:u w:val="single"/>
              </w:rPr>
              <w:t>C</w:t>
            </w:r>
          </w:p>
          <w:p w:rsidR="000B5CD2" w:rsidRDefault="000B5CD2" w:rsidP="000B5CD2">
            <w:pPr>
              <w:spacing w:after="0" w:line="480" w:lineRule="auto"/>
              <w:jc w:val="center"/>
              <w:rPr>
                <w:sz w:val="32"/>
                <w:szCs w:val="32"/>
                <w:u w:val="single"/>
              </w:rPr>
            </w:pPr>
            <w:r w:rsidRPr="00B654BF">
              <w:rPr>
                <w:sz w:val="32"/>
                <w:szCs w:val="32"/>
                <w:u w:val="single"/>
              </w:rPr>
              <w:t>C</w:t>
            </w:r>
          </w:p>
          <w:p w:rsidR="000B5CD2" w:rsidRDefault="000B5CD2" w:rsidP="000B5CD2">
            <w:pPr>
              <w:spacing w:after="0" w:line="480" w:lineRule="auto"/>
              <w:jc w:val="center"/>
              <w:rPr>
                <w:sz w:val="32"/>
                <w:szCs w:val="32"/>
                <w:u w:val="single"/>
              </w:rPr>
            </w:pPr>
            <w:r w:rsidRPr="00B654BF">
              <w:rPr>
                <w:sz w:val="32"/>
                <w:szCs w:val="32"/>
                <w:u w:val="single"/>
              </w:rPr>
              <w:t>I</w:t>
            </w:r>
          </w:p>
          <w:p w:rsidR="000B5CD2" w:rsidRDefault="000B5CD2" w:rsidP="000B5CD2">
            <w:pPr>
              <w:spacing w:after="0" w:line="480" w:lineRule="auto"/>
              <w:jc w:val="center"/>
              <w:rPr>
                <w:sz w:val="32"/>
                <w:szCs w:val="32"/>
                <w:u w:val="single"/>
              </w:rPr>
            </w:pPr>
            <w:r w:rsidRPr="00B654BF">
              <w:rPr>
                <w:sz w:val="32"/>
                <w:szCs w:val="32"/>
                <w:u w:val="single"/>
              </w:rPr>
              <w:t>O</w:t>
            </w:r>
          </w:p>
          <w:p w:rsidR="000B5CD2" w:rsidRDefault="000B5CD2" w:rsidP="000B5CD2">
            <w:pPr>
              <w:spacing w:after="0" w:line="480" w:lineRule="auto"/>
              <w:jc w:val="center"/>
              <w:rPr>
                <w:sz w:val="32"/>
                <w:szCs w:val="32"/>
                <w:u w:val="single"/>
              </w:rPr>
            </w:pPr>
            <w:r w:rsidRPr="00B654BF">
              <w:rPr>
                <w:sz w:val="32"/>
                <w:szCs w:val="32"/>
                <w:u w:val="single"/>
              </w:rPr>
              <w:t>N</w:t>
            </w:r>
          </w:p>
          <w:p w:rsidR="000B5CD2" w:rsidRDefault="000B5CD2" w:rsidP="000B5CD2">
            <w:pPr>
              <w:spacing w:after="0" w:line="480" w:lineRule="auto"/>
              <w:jc w:val="center"/>
              <w:rPr>
                <w:sz w:val="32"/>
                <w:szCs w:val="32"/>
                <w:u w:val="single"/>
              </w:rPr>
            </w:pPr>
            <w:r w:rsidRPr="00B654BF">
              <w:rPr>
                <w:sz w:val="32"/>
                <w:szCs w:val="32"/>
                <w:u w:val="single"/>
              </w:rPr>
              <w:t>E</w:t>
            </w:r>
          </w:p>
          <w:p w:rsidR="000B5CD2" w:rsidRPr="00B654BF" w:rsidRDefault="000B5CD2" w:rsidP="000B5CD2">
            <w:pPr>
              <w:spacing w:after="0" w:line="480" w:lineRule="auto"/>
              <w:jc w:val="center"/>
              <w:rPr>
                <w:sz w:val="32"/>
                <w:szCs w:val="32"/>
                <w:u w:val="single"/>
              </w:rPr>
            </w:pPr>
            <w:r w:rsidRPr="00B654BF">
              <w:rPr>
                <w:sz w:val="32"/>
                <w:szCs w:val="32"/>
                <w:u w:val="single"/>
              </w:rPr>
              <w:t>S</w:t>
            </w:r>
          </w:p>
        </w:tc>
        <w:tc>
          <w:tcPr>
            <w:tcW w:w="9076" w:type="dxa"/>
            <w:shd w:val="clear" w:color="auto" w:fill="auto"/>
          </w:tcPr>
          <w:p w:rsidR="000B5CD2" w:rsidRPr="00B654BF" w:rsidRDefault="000B5CD2" w:rsidP="000B5CD2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654BF">
              <w:rPr>
                <w:b/>
                <w:i/>
                <w:sz w:val="20"/>
                <w:szCs w:val="20"/>
              </w:rPr>
              <w:t xml:space="preserve">PROMOCIÓN,COMUNCACIÓN E IMAGEN: </w:t>
            </w:r>
          </w:p>
          <w:p w:rsidR="000B5CD2" w:rsidRPr="00DD0B45" w:rsidRDefault="000B5CD2" w:rsidP="000B5CD2">
            <w:pPr>
              <w:pStyle w:val="Prrafodelista"/>
              <w:numPr>
                <w:ilvl w:val="1"/>
                <w:numId w:val="9"/>
              </w:numPr>
              <w:spacing w:after="0"/>
              <w:jc w:val="both"/>
              <w:rPr>
                <w:sz w:val="20"/>
                <w:szCs w:val="20"/>
              </w:rPr>
            </w:pPr>
            <w:r w:rsidRPr="00DD0B45">
              <w:rPr>
                <w:sz w:val="20"/>
                <w:szCs w:val="20"/>
              </w:rPr>
              <w:t>Estudio de la demanda y opinión del consumidor nacional (hogares, restauración, …)</w:t>
            </w:r>
          </w:p>
          <w:p w:rsidR="000B5CD2" w:rsidRPr="00DD0B45" w:rsidRDefault="000B5CD2" w:rsidP="000B5CD2">
            <w:pPr>
              <w:numPr>
                <w:ilvl w:val="1"/>
                <w:numId w:val="9"/>
              </w:numPr>
              <w:spacing w:after="0"/>
              <w:jc w:val="both"/>
              <w:rPr>
                <w:sz w:val="20"/>
                <w:szCs w:val="20"/>
              </w:rPr>
            </w:pPr>
            <w:r w:rsidRPr="00DD0B45">
              <w:rPr>
                <w:sz w:val="20"/>
                <w:szCs w:val="20"/>
              </w:rPr>
              <w:t>Promoción del consumo de la carne de vacuno en el territorio nacional</w:t>
            </w:r>
          </w:p>
          <w:p w:rsidR="000B5CD2" w:rsidRPr="00DD0B45" w:rsidRDefault="000B5CD2" w:rsidP="000B5CD2">
            <w:pPr>
              <w:numPr>
                <w:ilvl w:val="1"/>
                <w:numId w:val="9"/>
              </w:numPr>
              <w:spacing w:after="0"/>
              <w:jc w:val="both"/>
              <w:rPr>
                <w:sz w:val="20"/>
                <w:szCs w:val="20"/>
              </w:rPr>
            </w:pPr>
            <w:r w:rsidRPr="00DD0B45">
              <w:rPr>
                <w:sz w:val="20"/>
                <w:szCs w:val="20"/>
              </w:rPr>
              <w:t>Comunicación y divulgación de las cualidades de la carne de vacuno.</w:t>
            </w:r>
          </w:p>
          <w:p w:rsidR="000B5CD2" w:rsidRPr="00DD0B45" w:rsidRDefault="000B5CD2" w:rsidP="000B5CD2">
            <w:pPr>
              <w:numPr>
                <w:ilvl w:val="1"/>
                <w:numId w:val="9"/>
              </w:numPr>
              <w:spacing w:after="0"/>
              <w:jc w:val="both"/>
              <w:rPr>
                <w:sz w:val="20"/>
                <w:szCs w:val="20"/>
              </w:rPr>
            </w:pPr>
            <w:r w:rsidRPr="00DD0B45">
              <w:rPr>
                <w:sz w:val="20"/>
                <w:szCs w:val="20"/>
              </w:rPr>
              <w:t xml:space="preserve">Las campañas de promoción a través de medios de comunicación y de las redes sociales </w:t>
            </w:r>
          </w:p>
          <w:p w:rsidR="000B5CD2" w:rsidRPr="00DD0B45" w:rsidRDefault="000B5CD2" w:rsidP="000B5CD2">
            <w:pPr>
              <w:numPr>
                <w:ilvl w:val="1"/>
                <w:numId w:val="9"/>
              </w:numPr>
              <w:spacing w:after="0"/>
              <w:jc w:val="both"/>
              <w:rPr>
                <w:sz w:val="20"/>
                <w:szCs w:val="20"/>
              </w:rPr>
            </w:pPr>
            <w:r w:rsidRPr="00DD0B45">
              <w:rPr>
                <w:sz w:val="20"/>
                <w:szCs w:val="20"/>
              </w:rPr>
              <w:t xml:space="preserve">El conocimiento de la demanda y promoción en el mercado exterior </w:t>
            </w:r>
          </w:p>
          <w:p w:rsidR="000B5CD2" w:rsidRDefault="000B5CD2" w:rsidP="000B5CD2">
            <w:pPr>
              <w:numPr>
                <w:ilvl w:val="1"/>
                <w:numId w:val="9"/>
              </w:numPr>
              <w:spacing w:after="0"/>
              <w:jc w:val="both"/>
              <w:rPr>
                <w:sz w:val="20"/>
                <w:szCs w:val="20"/>
              </w:rPr>
            </w:pPr>
            <w:r w:rsidRPr="00DD0B45">
              <w:rPr>
                <w:sz w:val="20"/>
                <w:szCs w:val="20"/>
              </w:rPr>
              <w:t>La puesta en marcha de una página web que sirva de cauce de comunicación bidireccional entre la organización y el colectivo implicado y la divulgación de las cualidades de la carne de vacuno.</w:t>
            </w:r>
          </w:p>
          <w:p w:rsidR="000B5CD2" w:rsidRDefault="000B5CD2" w:rsidP="000B5CD2">
            <w:pPr>
              <w:spacing w:after="0" w:line="240" w:lineRule="auto"/>
              <w:rPr>
                <w:b/>
              </w:rPr>
            </w:pPr>
          </w:p>
        </w:tc>
      </w:tr>
      <w:tr w:rsidR="000B5CD2" w:rsidTr="000B5CD2">
        <w:trPr>
          <w:trHeight w:val="2992"/>
        </w:trPr>
        <w:tc>
          <w:tcPr>
            <w:tcW w:w="932" w:type="dxa"/>
            <w:vMerge/>
          </w:tcPr>
          <w:p w:rsidR="000B5CD2" w:rsidRPr="00986AB5" w:rsidRDefault="000B5CD2" w:rsidP="000B5CD2">
            <w:pPr>
              <w:spacing w:after="0"/>
              <w:jc w:val="both"/>
              <w:rPr>
                <w:u w:val="single"/>
              </w:rPr>
            </w:pPr>
          </w:p>
        </w:tc>
        <w:tc>
          <w:tcPr>
            <w:tcW w:w="9076" w:type="dxa"/>
            <w:shd w:val="clear" w:color="auto" w:fill="auto"/>
          </w:tcPr>
          <w:p w:rsidR="000B5CD2" w:rsidRPr="00B654BF" w:rsidRDefault="000B5CD2" w:rsidP="000B5CD2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B654BF">
              <w:rPr>
                <w:b/>
                <w:i/>
                <w:sz w:val="20"/>
                <w:szCs w:val="20"/>
              </w:rPr>
              <w:t>COMPETITIVIDAD Y UNIÓN DE LA CADENA:</w:t>
            </w:r>
          </w:p>
          <w:p w:rsidR="000B5CD2" w:rsidRPr="00DD0B45" w:rsidRDefault="000B5CD2" w:rsidP="000B5CD2">
            <w:pPr>
              <w:numPr>
                <w:ilvl w:val="1"/>
                <w:numId w:val="9"/>
              </w:numPr>
              <w:spacing w:after="0"/>
              <w:jc w:val="both"/>
              <w:rPr>
                <w:sz w:val="20"/>
                <w:szCs w:val="20"/>
              </w:rPr>
            </w:pPr>
            <w:r w:rsidRPr="00DD0B45">
              <w:rPr>
                <w:sz w:val="20"/>
                <w:szCs w:val="20"/>
              </w:rPr>
              <w:t>Profundizar en el conocimiento de la estructura de la producción y los puntos críticos en la cadena de valor de la carne de vacuno, principalmente en los subsectores de vaca nodriza y cebo.</w:t>
            </w:r>
          </w:p>
          <w:p w:rsidR="000B5CD2" w:rsidRPr="00DD0B45" w:rsidRDefault="000B5CD2" w:rsidP="000B5CD2">
            <w:pPr>
              <w:numPr>
                <w:ilvl w:val="1"/>
                <w:numId w:val="9"/>
              </w:numPr>
              <w:spacing w:after="0"/>
              <w:jc w:val="both"/>
              <w:rPr>
                <w:sz w:val="20"/>
                <w:szCs w:val="20"/>
              </w:rPr>
            </w:pPr>
            <w:r w:rsidRPr="00DD0B45">
              <w:rPr>
                <w:sz w:val="20"/>
                <w:szCs w:val="20"/>
              </w:rPr>
              <w:t>El apoyo a la calidad y a la seguridad alimentaria, el posicionamiento y la diferenciación del producto nacional del resto, así como en la constitución de un gabinete de crisis preparado para superar cualquier eventualidad complementarán las acciones en este apartado.</w:t>
            </w:r>
          </w:p>
          <w:p w:rsidR="000B5CD2" w:rsidRPr="00DD0B45" w:rsidRDefault="000B5CD2" w:rsidP="000B5CD2">
            <w:pPr>
              <w:pStyle w:val="Prrafodelista"/>
              <w:numPr>
                <w:ilvl w:val="1"/>
                <w:numId w:val="9"/>
              </w:numPr>
              <w:spacing w:after="0"/>
              <w:jc w:val="both"/>
              <w:rPr>
                <w:sz w:val="20"/>
                <w:szCs w:val="20"/>
              </w:rPr>
            </w:pPr>
            <w:r w:rsidRPr="00DD0B45">
              <w:rPr>
                <w:sz w:val="20"/>
                <w:szCs w:val="20"/>
              </w:rPr>
              <w:t>Acciones coordinadas con otras interprofesiones en defensa de la carne</w:t>
            </w:r>
          </w:p>
          <w:p w:rsidR="000B5CD2" w:rsidRPr="00DD0B45" w:rsidRDefault="000B5CD2" w:rsidP="000B5CD2">
            <w:pPr>
              <w:pStyle w:val="Prrafodelista"/>
              <w:numPr>
                <w:ilvl w:val="1"/>
                <w:numId w:val="9"/>
              </w:numPr>
              <w:spacing w:after="0"/>
              <w:jc w:val="both"/>
              <w:rPr>
                <w:sz w:val="20"/>
                <w:szCs w:val="20"/>
              </w:rPr>
            </w:pPr>
            <w:r w:rsidRPr="00DD0B45">
              <w:rPr>
                <w:sz w:val="20"/>
                <w:szCs w:val="20"/>
              </w:rPr>
              <w:t>Articular los sistemas de actuación para gestión de crisis (por ejemplo, comunicado de lo Organización Mundial de la Salud)</w:t>
            </w:r>
          </w:p>
          <w:p w:rsidR="000B5CD2" w:rsidRDefault="000B5CD2" w:rsidP="000B5CD2">
            <w:pPr>
              <w:spacing w:after="0" w:line="240" w:lineRule="auto"/>
              <w:rPr>
                <w:b/>
              </w:rPr>
            </w:pPr>
          </w:p>
        </w:tc>
      </w:tr>
    </w:tbl>
    <w:p w:rsidR="000B5CD2" w:rsidRDefault="000B5CD2" w:rsidP="000B5CD2">
      <w:pPr>
        <w:spacing w:after="0"/>
        <w:jc w:val="both"/>
      </w:pPr>
    </w:p>
    <w:sectPr w:rsidR="000B5CD2" w:rsidSect="00993301">
      <w:headerReference w:type="default" r:id="rId11"/>
      <w:pgSz w:w="11906" w:h="16838"/>
      <w:pgMar w:top="212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6B" w:rsidRDefault="0032406B" w:rsidP="0032406B">
      <w:pPr>
        <w:spacing w:after="0" w:line="240" w:lineRule="auto"/>
      </w:pPr>
      <w:r>
        <w:separator/>
      </w:r>
    </w:p>
  </w:endnote>
  <w:endnote w:type="continuationSeparator" w:id="0">
    <w:p w:rsidR="0032406B" w:rsidRDefault="0032406B" w:rsidP="003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6B" w:rsidRDefault="0032406B" w:rsidP="0032406B">
      <w:pPr>
        <w:spacing w:after="0" w:line="240" w:lineRule="auto"/>
      </w:pPr>
      <w:r>
        <w:separator/>
      </w:r>
    </w:p>
  </w:footnote>
  <w:footnote w:type="continuationSeparator" w:id="0">
    <w:p w:rsidR="0032406B" w:rsidRDefault="0032406B" w:rsidP="003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6B" w:rsidRDefault="00993301" w:rsidP="0032406B">
    <w:pPr>
      <w:pStyle w:val="Encabezado"/>
      <w:ind w:left="-851"/>
    </w:pPr>
    <w:r>
      <w:rPr>
        <w:noProof/>
        <w:lang w:eastAsia="es-ES"/>
      </w:rPr>
      <w:drawing>
        <wp:inline distT="0" distB="0" distL="0" distR="0" wp14:anchorId="2F87C7AD" wp14:editId="07040AF2">
          <wp:extent cx="1080000" cy="1028923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28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29A"/>
    <w:multiLevelType w:val="multilevel"/>
    <w:tmpl w:val="B586648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882" w:hanging="1440"/>
      </w:pPr>
      <w:rPr>
        <w:rFonts w:cs="Times New Roman" w:hint="default"/>
      </w:rPr>
    </w:lvl>
  </w:abstractNum>
  <w:abstractNum w:abstractNumId="1">
    <w:nsid w:val="03C9785D"/>
    <w:multiLevelType w:val="hybridMultilevel"/>
    <w:tmpl w:val="B6F43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323"/>
    <w:multiLevelType w:val="hybridMultilevel"/>
    <w:tmpl w:val="550E937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CC4D9A"/>
    <w:multiLevelType w:val="hybridMultilevel"/>
    <w:tmpl w:val="39225E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042AC"/>
    <w:multiLevelType w:val="hybridMultilevel"/>
    <w:tmpl w:val="215086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78469E"/>
    <w:multiLevelType w:val="hybridMultilevel"/>
    <w:tmpl w:val="DEDEA2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D42AE"/>
    <w:multiLevelType w:val="hybridMultilevel"/>
    <w:tmpl w:val="DC02B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11EB2"/>
    <w:multiLevelType w:val="hybridMultilevel"/>
    <w:tmpl w:val="82E2C0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30FE4"/>
    <w:multiLevelType w:val="hybridMultilevel"/>
    <w:tmpl w:val="99D886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8D78C5"/>
    <w:multiLevelType w:val="hybridMultilevel"/>
    <w:tmpl w:val="F95614AE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462B63"/>
    <w:multiLevelType w:val="hybridMultilevel"/>
    <w:tmpl w:val="D42A03F8"/>
    <w:lvl w:ilvl="0" w:tplc="F50674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D"/>
    <w:rsid w:val="00026F32"/>
    <w:rsid w:val="00035051"/>
    <w:rsid w:val="0006740B"/>
    <w:rsid w:val="000B5CD2"/>
    <w:rsid w:val="00105E2C"/>
    <w:rsid w:val="0015434E"/>
    <w:rsid w:val="001668C9"/>
    <w:rsid w:val="001E65CA"/>
    <w:rsid w:val="00227F01"/>
    <w:rsid w:val="0024682D"/>
    <w:rsid w:val="002B254B"/>
    <w:rsid w:val="00311F17"/>
    <w:rsid w:val="0032406B"/>
    <w:rsid w:val="00342F9C"/>
    <w:rsid w:val="003747BD"/>
    <w:rsid w:val="00377152"/>
    <w:rsid w:val="0038711E"/>
    <w:rsid w:val="004620C9"/>
    <w:rsid w:val="00490C0F"/>
    <w:rsid w:val="004B3059"/>
    <w:rsid w:val="00500E27"/>
    <w:rsid w:val="005B2BD3"/>
    <w:rsid w:val="005E19A7"/>
    <w:rsid w:val="005E1AD4"/>
    <w:rsid w:val="00607FD3"/>
    <w:rsid w:val="00716EAD"/>
    <w:rsid w:val="00765A6A"/>
    <w:rsid w:val="007B0C27"/>
    <w:rsid w:val="00852134"/>
    <w:rsid w:val="008D6CD7"/>
    <w:rsid w:val="0090604C"/>
    <w:rsid w:val="00993301"/>
    <w:rsid w:val="009A23CE"/>
    <w:rsid w:val="00A82D69"/>
    <w:rsid w:val="00AC5778"/>
    <w:rsid w:val="00B21058"/>
    <w:rsid w:val="00B25DAF"/>
    <w:rsid w:val="00B63A57"/>
    <w:rsid w:val="00BB0199"/>
    <w:rsid w:val="00C57285"/>
    <w:rsid w:val="00CA19DC"/>
    <w:rsid w:val="00CA3BA4"/>
    <w:rsid w:val="00D12B4A"/>
    <w:rsid w:val="00D236D5"/>
    <w:rsid w:val="00E34FCB"/>
    <w:rsid w:val="00E975D0"/>
    <w:rsid w:val="00ED3395"/>
    <w:rsid w:val="00ED7D48"/>
    <w:rsid w:val="00F7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D9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771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9D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24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06B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24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06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D9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771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9D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24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06B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24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0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>
        <c:manualLayout>
          <c:layoutTarget val="inner"/>
          <c:xMode val="edge"/>
          <c:yMode val="edge"/>
          <c:x val="1.6730432206945919E-3"/>
          <c:y val="0.11160005942653396"/>
          <c:w val="0.67197245328659938"/>
          <c:h val="0.5239498836230378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Hoja1!$B$10</c:f>
              <c:strCache>
                <c:ptCount val="1"/>
                <c:pt idx="0">
                  <c:v>COMERCIALIZADOR/TRANSFORMADOR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155465037338763E-3"/>
                  <c:y val="-5.2596942999409008E-3"/>
                </c:manualLayout>
              </c:layout>
              <c:tx>
                <c:rich>
                  <a:bodyPr/>
                  <a:lstStyle/>
                  <a:p>
                    <a:r>
                      <a:rPr lang="es-ES" sz="1200" b="1">
                        <a:latin typeface="+mj-lt"/>
                      </a:rPr>
                      <a:t>0,50 €</a:t>
                    </a:r>
                    <a:endParaRPr lang="en-US" sz="1200" b="1">
                      <a:latin typeface="+mj-lt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Hoja1!$B$11</c:f>
              <c:numCache>
                <c:formatCode>"€"#,##0.00_);[Red]\("€"#,##0.00\)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Hoja1!$C$10</c:f>
              <c:strCache>
                <c:ptCount val="1"/>
                <c:pt idx="0">
                  <c:v>PRODUCTOR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269592476489028E-3"/>
                  <c:y val="-1.4412831405305652E-17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+mj-lt"/>
                      </a:rPr>
                      <a:t>0,50</a:t>
                    </a:r>
                    <a:r>
                      <a:rPr lang="en-US" sz="1400" b="1"/>
                      <a:t> </a:t>
                    </a:r>
                    <a:r>
                      <a:rPr lang="en-US" sz="1200" b="1">
                        <a:latin typeface="+mj-lt"/>
                      </a:rPr>
                      <a:t>€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Hoja1!$C$11</c:f>
              <c:numCache>
                <c:formatCode>"€"#,##0.00_);[Red]\("€"#,##0.00\)</c:formatCode>
                <c:ptCount val="1"/>
                <c:pt idx="0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49313792"/>
        <c:axId val="50749440"/>
      </c:barChart>
      <c:catAx>
        <c:axId val="49313792"/>
        <c:scaling>
          <c:orientation val="minMax"/>
        </c:scaling>
        <c:delete val="1"/>
        <c:axPos val="b"/>
        <c:majorTickMark val="none"/>
        <c:minorTickMark val="none"/>
        <c:tickLblPos val="nextTo"/>
        <c:crossAx val="50749440"/>
        <c:crosses val="autoZero"/>
        <c:auto val="1"/>
        <c:lblAlgn val="ctr"/>
        <c:lblOffset val="100"/>
        <c:noMultiLvlLbl val="0"/>
      </c:catAx>
      <c:valAx>
        <c:axId val="5074944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9313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05906745982766"/>
          <c:y val="0.10011885306789481"/>
          <c:w val="0.46317891502192837"/>
          <c:h val="0.5588639479766521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767491770710982"/>
          <c:w val="0.73641173641173641"/>
          <c:h val="0.63757189925727364"/>
        </c:manualLayout>
      </c:layout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4.4658508595516434E-2"/>
                  <c:y val="0.1142900541687608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Hoja1!$B$4:$D$4</c:f>
              <c:strCache>
                <c:ptCount val="3"/>
                <c:pt idx="0">
                  <c:v>PROMOCIÓN, COMUNICACIÓN E IMAGEN</c:v>
                </c:pt>
                <c:pt idx="1">
                  <c:v>COMPETITIVIDAD Y UNIÓN DE LA CADENA</c:v>
                </c:pt>
                <c:pt idx="2">
                  <c:v>GESTIÓN EXTENSIÓN DE NORMA</c:v>
                </c:pt>
              </c:strCache>
            </c:strRef>
          </c:cat>
          <c:val>
            <c:numRef>
              <c:f>Hoja1!$B$5:$D$5</c:f>
              <c:numCache>
                <c:formatCode>0%</c:formatCode>
                <c:ptCount val="3"/>
                <c:pt idx="0">
                  <c:v>0.6</c:v>
                </c:pt>
                <c:pt idx="1">
                  <c:v>0.3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53915150537923373"/>
          <c:y val="0.22429837154333607"/>
          <c:w val="0.45870025592595309"/>
          <c:h val="0.436727536717484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E5A6-B50D-4470-9EA8-E4FF1566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TRAGSA</dc:creator>
  <cp:lastModifiedBy>Jesus Llorente Gil</cp:lastModifiedBy>
  <cp:revision>2</cp:revision>
  <cp:lastPrinted>2016-07-15T08:02:00Z</cp:lastPrinted>
  <dcterms:created xsi:type="dcterms:W3CDTF">2016-07-28T10:54:00Z</dcterms:created>
  <dcterms:modified xsi:type="dcterms:W3CDTF">2016-07-28T10:54:00Z</dcterms:modified>
</cp:coreProperties>
</file>